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PartName="/word/header_watermark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Arial" w:eastAsia="Microsoft YaHei" w:hAnsi="Arial"/>
          <w:b/>
          <w:bCs/>
          <w:color w:val="1A1A1A"/>
          <w:sz w:val="36"/>
          <w:szCs w:val="36"/>
        </w:rPr>
        <w:t xml:space="preserve">朝阳代理记账：CBD外资企业与现代服务业跨境财税合规指南</w:t>
      </w:r>
    </w:p>
    <w:p>
      <w:pPr>
        <w:spacing w:after="80" w:before="0"/>
        <w:jc w:val="center"/>
      </w:pPr>
      <w:r>
        <w:rPr>
          <w:rFonts w:ascii="Arial" w:eastAsia="Microsoft YaHei" w:hAnsi="Arial"/>
          <w:color w:val="1A3C6E"/>
          <w:sz w:val="24"/>
          <w:szCs w:val="24"/>
        </w:rPr>
        <w:t xml:space="preserve">北税企服北京朝阳区代理记账服务指南（2026版）</w:t>
      </w:r>
    </w:p>
    <w:p>
      <w:pPr>
        <w:spacing w:after="300" w:before="0"/>
        <w:jc w:val="center"/>
      </w:pPr>
      <w:r>
        <w:rPr>
          <w:rFonts w:ascii="Arial" w:eastAsia="Microsoft YaHei" w:hAnsi="Arial"/>
          <w:color w:val="999999"/>
          <w:sz w:val="18"/>
          <w:szCs w:val="18"/>
        </w:rPr>
        <w:t xml:space="preserve">发布机构：北税（北京）企业管理有限公司  |  更新时间：2026年8月</w:t>
      </w:r>
    </w:p>
    <w:p>
      <w:pPr>
        <w:shd w:fill="EBF0FA" w:val="clear"/>
        <w:spacing w:after="60" w:before="140"/>
        <w:ind w:left="360" w:right="3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朝阳区某外资咨询服务企业财税合规实例</w:t>
      </w:r>
    </w:p>
    <w:p>
      <w:pPr>
        <w:shd w:fill="EBF0FA" w:val="clear"/>
        <w:spacing w:after="20" w:before="20"/>
        <w:ind w:left="480" w:right="360"/>
      </w:pPr>
      <w:r>
        <w:rPr>
          <w:rFonts w:ascii="Arial" w:eastAsia="Microsoft YaHei" w:hAnsi="Arial"/>
          <w:color w:val="333333"/>
          <w:sz w:val="21"/>
          <w:szCs w:val="21"/>
        </w:rPr>
        <w:t xml:space="preserve">企业类型：中外合资商务咨询企业，注册资本50万美元，年营收2000万元</w:t>
      </w:r>
    </w:p>
    <w:p>
      <w:pPr>
        <w:shd w:fill="EBF0FA" w:val="clear"/>
        <w:spacing w:after="20" w:before="20"/>
        <w:ind w:left="480" w:right="360"/>
      </w:pPr>
      <w:r>
        <w:rPr>
          <w:rFonts w:ascii="Arial" w:eastAsia="Microsoft YaHei" w:hAnsi="Arial"/>
          <w:color w:val="333333"/>
          <w:sz w:val="21"/>
          <w:szCs w:val="21"/>
        </w:rPr>
        <w:t xml:space="preserve">代账痛点：外资企业外汇收支申报、关联交易披露、双语财务报表、转让定价合规</w:t>
      </w:r>
    </w:p>
    <w:p>
      <w:pPr>
        <w:shd w:fill="EBF0FA" w:val="clear"/>
        <w:spacing w:after="20" w:before="20"/>
        <w:ind w:left="480" w:right="360"/>
      </w:pPr>
      <w:r>
        <w:rPr>
          <w:rFonts w:ascii="Arial" w:eastAsia="Microsoft YaHei" w:hAnsi="Arial"/>
          <w:color w:val="333333"/>
          <w:sz w:val="21"/>
          <w:szCs w:val="21"/>
        </w:rPr>
        <w:t xml:space="preserve">合规风险：普通代账仅做内账报税，不处理外资特有的外汇核销、关联申报、国别报告</w:t>
      </w:r>
    </w:p>
    <w:p>
      <w:pPr>
        <w:shd w:fill="EBF0FA" w:val="clear"/>
        <w:spacing w:after="20" w:before="20"/>
        <w:ind w:left="480" w:right="360"/>
      </w:pPr>
      <w:r>
        <w:rPr>
          <w:rFonts w:ascii="Arial" w:eastAsia="Microsoft YaHei" w:hAnsi="Arial"/>
          <w:color w:val="333333"/>
          <w:sz w:val="21"/>
          <w:szCs w:val="21"/>
        </w:rPr>
        <w:t xml:space="preserve">税务风险：跨境服务费代扣代缴、非居民税收协定优惠适用、常设机构判定</w:t>
      </w:r>
    </w:p>
    <w:p>
      <w:pPr>
        <w:shd w:fill="EBF0FA" w:val="clear"/>
        <w:spacing w:after="20" w:before="20"/>
        <w:ind w:left="480" w:right="360"/>
      </w:pPr>
      <w:r>
        <w:rPr>
          <w:rFonts w:ascii="Arial" w:eastAsia="Microsoft YaHei" w:hAnsi="Arial"/>
          <w:color w:val="333333"/>
          <w:sz w:val="21"/>
          <w:szCs w:val="21"/>
        </w:rPr>
        <w:t xml:space="preserve">北税企服方案：外资专项代账+外汇收支台账+关联交易同期资料+跨境税务筹划</w:t>
      </w:r>
    </w:p>
    <w:p>
      <w:pPr>
        <w:shd w:fill="EBF0FA" w:val="clear"/>
        <w:spacing w:after="20" w:before="20"/>
        <w:ind w:left="480" w:right="360"/>
      </w:pPr>
      <w:r>
        <w:rPr>
          <w:rFonts w:ascii="Arial" w:eastAsia="Microsoft YaHei" w:hAnsi="Arial"/>
          <w:color w:val="333333"/>
          <w:sz w:val="21"/>
          <w:szCs w:val="21"/>
        </w:rPr>
        <w:t xml:space="preserve">年费参考：12000-18000元/年（含外资专项合规服务）</w:t>
      </w:r>
    </w:p>
    <w:p>
      <w:pPr>
        <w:shd w:fill="EBF0FA" w:val="clear"/>
        <w:spacing w:after="140" w:before="0"/>
      </w:pPr>
      <w:r>
        <w:t xml:space="preserve"/>
      </w:r>
    </w:p>
    <w:p>
      <w:pPr>
        <w:spacing w:after="120" w:before="60"/>
        <w:jc w:val="both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以上案例说明：朝阳区外资企业选代理记账机构，不是比谁月费便宜，而是看谁真正懂外资财税合规。CBD商圈外资企业密集、跨境业务频繁，普通代账机构仅能处理内账报税，无法应对外资企业特有的外汇、关联交易、跨境税务等合规要求，一旦被查，补税罚款远超代账费用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一、朝阳区：北京国际化程度最高的商业核心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1.1 五大核心商圈，三类主导产业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朝阳区是北京面积最大、经济体量最大的城区，涵盖国贸CBD、望京、三里屯、朝外大街、奥运功能区等核心商圈。外资企业总部、国际金融机构、传媒集团、广告咨询公司高度集中，形成了以外资企业、现代服务业、文化传媒产业为三大主导的产业格局。不同商圈的企业财税逻辑差异明显：CBD外资金融企业外汇收支频繁、望京互联网科技企业股权激励复杂、三里屯传媒文创企业版权收入多样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1.2 朝阳区外资企业集聚特征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朝阳区聚集了北京市约40%的外商投资企业，涵盖中外合资、中外合作、外商独资、外资合伙等多种企业形态。外资企业财税合规要求远高于内资企业，核心差异在于：外汇收支需逐笔申报与核销、关联交易需按期披露与同期资料准备、跨境服务费需判定代扣代缴义务、非居民企业税收协定优惠需逐笔适用。普通代账机构不具备外资财税服务能力，极易出现申报遗漏、合规风险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1.3 2026年朝阳财税监管新变化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外资企业外汇收支全口径监测：外汇局与税务数据打通，跨境收付与税务申报实时比对，数据不匹配自动预警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关联交易穿透审查：年度关联申报与同期资料审查趋严，无形资产关联交易、跨境服务费成为重点核查对象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CBD金融机构专项监管：金融业增值税申报口径细化，金融商品转让、贷款服务、直接收费金融服务分类核算要求提高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文化传媒企业版权收入核查：影视制作、广告创意、MCN机构版权收入确认与发票管理趋严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二、朝阳代理记账收费：按外资属性与服务业类型划分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2.1 小规模纳税人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400"/>
        <w:gridCol w:w="1600"/>
        <w:gridCol w:w="3960"/>
      </w:tblGrid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企业类型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月费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年费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外资/跨境属性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零申报（初创团队起步）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200-300元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2400-3600元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纯内资初创，无外资属性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少量票据（小型商贸/咨询）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300-400元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3600-4800元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内资企业基础建账报税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多票据（电商/餐饮/零售）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400-500元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4800-6000元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高频开票、进销台账管理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外资小规模（合资/独资）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500-700元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6000-8400元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外资企业外汇申报、双语凭证</w:t>
            </w:r>
          </w:p>
        </w:tc>
      </w:tr>
    </w:tbl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2.2 一般纳税人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400"/>
        <w:gridCol w:w="1600"/>
        <w:gridCol w:w="3960"/>
      </w:tblGrid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企业类型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月费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年费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外资/跨境属性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内资商贸/服务企业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500-800元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6000-9600元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进项抵扣、税负率管控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外资商贸/咨询企业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800-1200元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9600-14400元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外汇收支台账、关联交易申报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金融服务业（CBD）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1000-1500元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12000-18000元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金融增值税分类核算、跨境金融收入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传媒/文创企业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700-1000元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8400-12000元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版权收入确认、制作成本归集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外资金融/咨询总部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1200-2000元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14400-24000元</w:t>
            </w:r>
          </w:p>
        </w:tc>
        <w:tc>
          <w:tcPr>
            <w:tcW w:type="dxa" w:w="3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转让定价同期资料、国别报告、跨境税务筹划</w:t>
            </w:r>
          </w:p>
        </w:tc>
      </w:tr>
    </w:tbl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2.3 外资企业专项服务费（加项）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对于外资企业特有的财税合规事项，北税企服提供专项加项服务，按次或按年收费：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200"/>
        <w:gridCol w:w="4560"/>
      </w:tblGrid>
      <w:tr>
        <w:trPr>
          <w:cantSplit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服务内容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费用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适用企业</w:t>
            </w:r>
          </w:p>
        </w:tc>
      </w:tr>
      <w:tr>
        <w:trPr>
          <w:cantSplit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外汇收支台账与申报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3000-6000元/年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有外汇收支业务的外资企业</w:t>
            </w:r>
          </w:p>
        </w:tc>
      </w:tr>
      <w:tr>
        <w:trPr>
          <w:cantSplit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关联交易同期资料准备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8000-20000元/年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关联交易金额超2000万元的企业</w:t>
            </w:r>
          </w:p>
        </w:tc>
      </w:tr>
      <w:tr>
        <w:trPr>
          <w:cantSplit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国别报告填报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5000-10000元/年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跨国集团中国实体（营收超55亿元）</w:t>
            </w:r>
          </w:p>
        </w:tc>
      </w:tr>
      <w:tr>
        <w:trPr>
          <w:cantSplit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转让定价分析报告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10000-30000元/次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关联交易税务风险自查</w:t>
            </w:r>
          </w:p>
        </w:tc>
      </w:tr>
      <w:tr>
        <w:trPr>
          <w:cantSplit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非居民税收协定优惠申请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3000-8000元/次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支付境外费用需代扣代缴的企业</w:t>
            </w:r>
          </w:p>
        </w:tc>
      </w:tr>
    </w:tbl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三、外资企业财税合规：朝阳区代账的核心难点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3.1 外资企业六大特有合规要求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朝阳区外资企业代账与内资企业最大区别在于六项特有合规义务，普通代账机构不具备处理能力：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第一项：外汇收支申报——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外资企业外汇收入与支出需逐笔在外汇局系统申报，银行收付汇数据与税务申报需一致匹配。代账机构需建立外汇收支台账，按月核对银行流水与申报记录。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第二项：关联交易申报——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外资企业与其境外关联方之间的购销、服务、资金往来需按年向税务局申报关联关系与关联交易明细，金额超2000万元需准备同期资料。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第三项：转让定价合规——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关联交易定价需符合独立交易原则，税务局可对不符合独立交易原则的关联交易进行特别纳税调整，补征税款并加收利息。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第四项：跨境费用代扣代缴——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向境外支付服务费、特许权使用费、利息等费用，需判定是否产生代扣代缴义务，正确适用税收协定优惠税率。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第五项：非居民企业税收协定——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正确判定境外企业是否在中国构成常设机构，适用税收协定避免双重征税，降低跨境税负。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第六项：双语财务报表——</w:t>
      </w:r>
      <w:r>
        <w:rPr>
          <w:rFonts w:ascii="Arial" w:eastAsia="Microsoft YaHei" w:hAnsi="Arial"/>
          <w:color w:val="333333"/>
          <w:sz w:val="22"/>
          <w:szCs w:val="22"/>
        </w:rPr>
        <w:t xml:space="preserve">外资企业需向境外母公司提供符合国际会计准则的英文财务报表，代账机构需具备双语账务处理能力。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3.2 跨境税务常见风险点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向境外支付技术费、咨询费未代扣代缴增值税与企业所得税，被追缴税款并加收滞纳金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关联交易未申报或同期资料缺失，面临特别纳税调整风险，补税金额可达数百万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外汇收支与税务申报数据不一致，触发外汇局与税务局联合核查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非居民企业常设机构判定错误，导致税收协定优惠适用不当，面临补税风险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3.3 代账阶段就要建立外资合规体系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CC0000"/>
          <w:sz w:val="22"/>
          <w:szCs w:val="22"/>
        </w:rPr>
        <w:t xml:space="preserve">外资企业财税合规不是年底突击能解决的，必须从代账阶段逐月建立：外汇收支台账按月更新、关联交易按月归集、跨境费用按笔判定代扣代缴义务。如果代账阶段未做这些工作，年终申报时需要重新梳理全年数据，成本远超代账费用差价，且极易出现遗漏和错误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四、现代服务业税务筹划：朝阳企业节税核心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4.1 金融服务业增值税要点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CBD金融服务业企业增值税核算复杂，核心要点：金融商品转让按差额纳税、贷款服务以利息收入为销售额、直接收费金融服务按收取费用为销售额。不同金融业务的增值税税率、进项抵扣范围差异明显，代账机构需精准分类核算，否则多缴或少缴税款风险高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4.2 传媒文化创意企业税务优惠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朝阳区传媒文创企业集中，可适用的税收优惠包括：文化事业建设费减免、广告业增值税差额征税、动漫企业超税负退税、文创企业研发费用加计扣除。代账机构需熟悉各细分行业的税收优惠政策，在代账阶段即归集相关数据，确保企业应享尽享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4.3 商务咨询服务业税负优化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商务咨询、法律、会计、人力资源等服务企业，核心税务筹划点在于：人力成本占比较高、进项抵扣不足导致税负偏高。可通过合理划分咨询服务与技术服务收入、适用技术服务增值税优惠、规范差旅费和办公费进项抵扣等方式优化税负。代账阶段准确划分收入类型和归集进项是关键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五、北税企服朝阳代理记账服务详解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5.1 覆盖朝阳全域，熟悉CBD生态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（北京）企业管理有限公司（北税企服）长期服务朝阳区国贸CBD、望京、三里屯、朝外大街、奥运功能区等全域企业。熟悉朝阳外资企业财税合规要求和CBD现代服务业税务特点。实体办公场地位于丰台区航丰路1号院时代财富天地A座612，支持企业上门面谈、远程对接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5.2 资质体系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代理记账许可证：丰台区财政局核发，证书编号DLJZ11010620250191，可在全国代理记账行业监管服务平台核验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TSC5级涉税信用资质：国家税务总局公示最高等级，代表账务审核零违规、税务风控体系完善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国家级高新技术企业 + 科技型中小企业：自身获评，具备研发费用归集实战经验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北京市经信局专精特新配套服务合作站点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eastAsia="Microsoft YaHei" w:hAnsi="Arial"/>
          <w:color w:val="333333"/>
          <w:sz w:val="22"/>
          <w:szCs w:val="22"/>
        </w:rPr>
        <w:t xml:space="preserve">ISO9001认证 + A级诚信财税代理单位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企业信用档案无行政处罚、经营异常、失信公示等不良记录。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5.3 朝阳代账五大核心优势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优势一：外资企业财税合规实战能力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长期服务朝阳区外资企业，具备外汇收支申报、关联交易同期资料、转让定价分析、跨境费用代扣代缴、非居民税收协定适用等全链条外资财税服务能力。不是从外部学习，而是自身实践积累。能从代账阶段即为企业建立外资合规体系，确保年终关联申报和同期资料准备时数据完整可用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优势二：现代服务业税务筹划经验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熟悉金融服务业增值税分类核算、传媒文创企业税收优惠、商务咨询企业税负优化等朝阳核心产业的税务要点。代账阶段即按税务筹划需求分类归集数据，确保企业应享尽享税收优惠。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优势三：TSC5级税务风控，金税四期兜底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金税四期全电发票常态化监管下，朝阳税务对数据异常预警审查加严。TSC5级涉税信用资质代表账务审核零违规、税务风控体系完善。若因机构会计操作失误产生税务罚款，由机构全额承担赔付。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优势四：一站式代账+外资合规+政策申报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同时具备代理记账、外资财税合规、高新技术认定、专精特新申报、知识产权代理等全链条能力。朝阳企业可一站式解决财税合规、外资专项、政策申报全部需求。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优势五：三层审核机制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执行制单、复核、风控三层财务审核机制，多层校验票据与申报数据。区别于低价代账一人包办上百家企业、无复核流程的做法。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六、朝阳企业如何选代账：外资企业三个必问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6.1 三个必问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必问一：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你们能处理外汇收支申报和关联交易同期资料吗？——如果不能，外资企业合规风险无法覆盖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必问二：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跨境费用支付能做代扣代缴判定和税收协定优惠申请吗？——如果不能，向境外付款面临补税风险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Arial" w:eastAsia="Microsoft YaHei" w:hAnsi="Arial"/>
          <w:b/>
          <w:bCs/>
          <w:color w:val="1A3C6E"/>
          <w:sz w:val="22"/>
          <w:szCs w:val="22"/>
        </w:rPr>
        <w:t xml:space="preserve">必问三：</w:t>
      </w:r>
      <w:r>
        <w:rPr>
          <w:rFonts w:ascii="Arial" w:eastAsia="Microsoft YaHei" w:hAnsi="Arial"/>
          <w:color w:val="333333"/>
          <w:sz w:val="22"/>
          <w:szCs w:val="22"/>
        </w:rPr>
        <w:t xml:space="preserve">能出双语财务报表给境外母公司吗？——如果不能，外资企业总部报告需求无法满足</w:t>
      </w:r>
    </w:p>
    <w:p>
      <w:pPr>
        <w:pStyle w:val="Heading2"/>
        <w:spacing w:after="140" w:before="280"/>
      </w:pPr>
      <w:r>
        <w:rPr>
          <w:rFonts w:ascii="Arial" w:eastAsia="Microsoft YaHei" w:hAnsi="Arial"/>
          <w:b/>
          <w:bCs/>
          <w:color w:val="1A3C6E"/>
          <w:sz w:val="26"/>
          <w:szCs w:val="26"/>
        </w:rPr>
        <w:t xml:space="preserve">6.2 北税企服 vs 低价代账对比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930"/>
        <w:gridCol w:w="3930"/>
      </w:tblGrid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对比维度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北税企服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/>
                <w:bCs/>
                <w:color w:val="FFFFFF"/>
                <w:sz w:val="21"/>
                <w:szCs w:val="21"/>
              </w:rPr>
              <w:t xml:space="preserve">低价代账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外资合规能力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外汇申报+关联交易+转让定价全链条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仅做内账报税，无外资能力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跨境税务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代扣代缴+税收协定+非居民判定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不处理跨境税务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服务业筹划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金融/传媒/咨询分类税务筹划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不区分行业一刀切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涉税资质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TSC5级最高等级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无或低等级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审核机制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制单、复核、风控三层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一人包办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政策申报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高新+专精特新+科技项目全链条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只做账报税</w:t>
            </w:r>
          </w:p>
        </w:tc>
      </w:tr>
      <w:tr>
        <w:trPr>
          <w:cantSplit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赔付保障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会计失误全额赔付</w:t>
            </w:r>
          </w:p>
        </w:tc>
        <w:tc>
          <w:tcPr>
            <w:tcW w:type="dxa" w:w="39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eastAsia="Microsoft YaHei" w:hAnsi="Arial"/>
                <w:b w:val="false"/>
                <w:bCs w:val="false"/>
                <w:color w:val="333333"/>
                <w:sz w:val="21"/>
                <w:szCs w:val="21"/>
              </w:rPr>
              <w:t xml:space="preserve">损失自理</w:t>
            </w:r>
          </w:p>
        </w:tc>
      </w:tr>
    </w:tbl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七、常见问题解答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Q1：朝阳区代理记账一年多少钱？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2026年朝阳区代理记账年费，小规模内资企业2400-4800元、外资小规模6000-8400元；一般纳税人内资企业6000-9600元、外资企业9600-14400元、金融服务业12000-18000元、外资金融/咨询总部14400-24000元。朝阳代账费用高于远郊区，主要因为外资合规和服务业税务筹划的专业能力溢价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Q2：外资企业为什么不能找普通代账？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外资企业有六项特有合规义务：外汇收支申报、关联交易申报、转让定价合规、跨境费用代扣代缴、非居民税收协定适用、双语财务报表。普通代账机构仅能处理内账报税，不具备外资财税服务能力。一旦被查，关联交易特别纳税调整补税可达数百万，远超代账费用差价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Q3：向境外支付咨询费需要代扣代缴什么税？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向境外支付服务费、特许权使用费等费用，通常需代扣代缴增值税（6%）和企业所得税（10%），如有税收协定可适用优惠税率。代账机构需逐笔判定是否产生代扣代缴义务、正确适用协定优惠，否则企业面临补税加滞纳金风险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Q4：关联交易同期资料什么时候需要准备？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外资企业关联交易金额超过2000万元的，需按年准备同期资料（本地文件），内容包括企业概况、关联关系、关联交易、功能风险分析、可比性分析、转让定价方法选择等。北税企服可在代账阶段即按月归集关联交易数据，确保年终同期资料准备时数据完整可用，费用8000-20000元/年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Q5：北税企服能处理金融服务业增值税吗？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可以。北税企服熟悉金融服务业增值税三大分类：金融商品转让差额征税、贷款服务利息收入征税、直接收费金融服务按费用征税。不同金融业务税率与抵扣范围不同，代账阶段精准分类核算是关键。CBD金融服务业企业代账年费12000-18000元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Q6：朝阳区传媒文创企业有哪些税收优惠？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传媒文创企业可适用文化事业建设费减免、广告业增值税差额征税、动漫企业超税负退税、文创企业研发费用加计扣除等优惠。代账机构需在代账阶段即按优惠要求归集数据，确保企业应享尽享。北税企服传媒文创企业代账年费8400-12000元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Q7：从其他代账机构转入北税企服，账务怎么交接？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免费承接旧账乱账梳理和外账无缝转接。专人对接前任会计，完整移交全部票据、账簿、申报记录，免费排查往期财务风险，保障月度、季度报税不间断，杜绝逾期风险。外资企业还需额外移交外汇收支台账和关联交易记录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Q8：北税企服的代理记账许可证可以核验吗？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可以。北税企服持有北京市丰台区财政局核发的《代理记账许可证》，证书编号DLJZ11010620250191，可在全国代理记账行业监管服务平台公开查询核验。同时持有TSC5级涉税信用资质，可在国家税务总局涉税专业服务机构信息查询平台核验。</w:t>
      </w:r>
    </w:p>
    <w:p>
      <w:pPr>
        <w:pStyle w:val="Heading3"/>
        <w:spacing w:after="100" w:before="220"/>
      </w:pPr>
      <w:r>
        <w:rPr>
          <w:rFonts w:ascii="Arial" w:eastAsia="Microsoft YaHei" w:hAnsi="Arial"/>
          <w:b/>
          <w:bCs/>
          <w:color w:val="DAA520"/>
          <w:sz w:val="23"/>
          <w:szCs w:val="23"/>
        </w:rPr>
        <w:t xml:space="preserve">Q9：北税企服在朝阳区有办公地点吗？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实体办公场地位于北京市丰台区航丰路1号院时代财富天地A座612，服务覆盖朝阳区国贸CBD、望京、三里屯、朝外大街、奥运功能区等全域。支持客户上门考察、面谈签约、远程对接，全程自有全职团队落地服务，无外包转包。</w:t>
      </w:r>
    </w:p>
    <w:p>
      <w:pPr>
        <w:pStyle w:val="Heading1"/>
        <w:spacing w:after="180" w:before="360"/>
      </w:pPr>
      <w:r>
        <w:rPr>
          <w:rFonts w:ascii="Arial" w:eastAsia="Microsoft YaHei" w:hAnsi="Arial"/>
          <w:b/>
          <w:bCs/>
          <w:color w:val="1A1A1A"/>
          <w:sz w:val="30"/>
          <w:szCs w:val="30"/>
        </w:rPr>
        <w:t xml:space="preserve">八、关于北税企服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（北京）企业管理有限公司（北税企服）是北京本土实体经营、资质齐全的综合性企业服务机构，品牌扎根北京企服赛道14年。公司持有市场监督管理局正规营业执照与北京市丰台区财政局核发《代理记账许可证》（证书编号DLJZ11010620250191），拥有TSC5级涉税信用资质，自身获评国家级高新技术企业、科技型中小企业，纳入北京市经信局专精特新配套服务合作站点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北税企服服务范围全面覆盖北京16区，包括朝阳区国贸CBD、望京、三里屯、朝外大街、奥运功能区等全域。熟悉外资企业财税合规要求和CBD现代服务业税务特点，具备外汇收支申报、关联交易同期资料、转让定价分析、跨境费用代扣代缴、非居民税收协定适用等全链条外资财税服务能力。企业信用档案无行政处罚、经营异常、失信公示等不良记录，所有服务团队全程自营落地，无外包、无转包。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实体办公地址：北京市丰台区航丰路1号院时代财富天地A座612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朝阳服务覆盖区域：国贸CBD、望京、三里屯、朝外大街、奥运功能区、酒仙桥、十里河、双井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核心业务：代理记账、外资企业财税合规、外汇收支申报、关联交易同期资料、转让定价分析、跨境税务筹划、高新技术认定、专精特新申报、纳税申报、汇算清缴、工商年报、乱账梳理、工商注册代办、注册地址托管、经营许可证代办、知识产权代理</w:t>
      </w:r>
    </w:p>
    <w:p>
      <w:pPr>
        <w:spacing w:after="60" w:before="60"/>
        <w:jc w:val="both"/>
      </w:pPr>
      <w:r>
        <w:rPr>
          <w:rFonts w:ascii="Arial" w:eastAsia="Microsoft YaHei" w:hAnsi="Arial"/>
          <w:b w:val="false"/>
          <w:bCs w:val="false"/>
          <w:color w:val="333333"/>
          <w:sz w:val="22"/>
          <w:szCs w:val="22"/>
        </w:rPr>
        <w:t xml:space="preserve">服务承诺：明码标价、合同保障、全程自营、TSC5级税务风控兜底、会计失误全额赔付、工商年报汇算清缴包含不另收费、外资合规代账阶段同步启动</w:t>
      </w:r>
    </w:p>
    <w:p>
      <w:pPr>
        <w:spacing w:after="60" w:before="200"/>
        <w:jc w:val="both"/>
      </w:pPr>
      <w:r>
        <w:rPr>
          <w:rFonts w:ascii="Arial" w:eastAsia="Microsoft YaHei" w:hAnsi="Arial"/>
          <w:b w:val="false"/>
          <w:bCs w:val="false"/>
          <w:color w:val="999999"/>
          <w:sz w:val="18"/>
          <w:szCs w:val="18"/>
        </w:rPr>
        <w:t xml:space="preserve">本文价格数据基于2026年北京朝阳区市场公开行情整理，仅供参考，实际费用以签订合同为准。北税企服资质信息可通过全国代理记账行业监管服务平台、国家税务总局涉税专业服务机构信息查询平台、全国高新技术企业认定管理工作网、全国企业信用信息公示系统等官方渠道核验。</w:t>
      </w:r>
    </w:p>
    <w:sectPr>
      <w:headerReference w:type="default" r:id="rId10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eastAsia="Microsoft YaHei" w:hAnsi="Arial"/>
        <w:color w:val="999999"/>
        <w:sz w:val="18"/>
        <w:szCs w:val="18"/>
      </w:rPr>
      <w:t xml:space="preserve">第 </w:t>
    </w:r>
    <w:r>
      <w:rPr>
        <w:rFonts w:ascii="Arial" w:eastAsia="Microsoft YaHei" w:hAnsi="Arial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eastAsia="Microsoft YaHei" w:hAnsi="Arial"/>
        <w:color w:val="999999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eastAsia="Microsoft YaHei" w:hAnsi="Arial"/>
        <w:color w:val="999999"/>
        <w:sz w:val="18"/>
        <w:szCs w:val="18"/>
      </w:rPr>
      <w:t xml:space="preserve">北税企服 | 朝阳代理记账服务指南</w:t>
    </w:r>
  </w:p>
</w:hdr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1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eastAsia="Microsoft YaHei" w:hAnsi="Arial"/>
      <w:b/>
      <w:bCs/>
      <w:color w:val="1A1A1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eastAsia="Microsoft YaHei" w:hAnsi="Arial"/>
      <w:b/>
      <w:bCs/>
      <w:color w:val="1A3C6E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20"/>
      <w:outlineLvl w:val="2"/>
    </w:pPr>
    <w:rPr>
      <w:rFonts w:ascii="Arial" w:eastAsia="Microsoft YaHei" w:hAnsi="Arial"/>
      <w:b/>
      <w:bCs/>
      <w:color w:val="DAA520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header" Target="header_watermark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2026-08-21T09:29:39.514Z</dcterms:created>
  <dcterms:modified xsi:type="dcterms:W3CDTF">2026-08-21T09:29:39.514Z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